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91527">
      <w:pPr>
        <w:spacing w:after="0" w:line="360" w:lineRule="auto"/>
        <w:rPr>
          <w:b/>
          <w:lang w:eastAsia="zh-CN"/>
        </w:rPr>
      </w:pPr>
      <w:bookmarkStart w:id="0" w:name="_GoBack"/>
      <w:bookmarkEnd w:id="0"/>
      <w:r>
        <w:rPr>
          <w:rFonts w:ascii="宋体" w:hAnsi="宋体" w:eastAsia="宋体"/>
          <w:b/>
          <w:sz w:val="24"/>
          <w:lang w:eastAsia="zh-CN"/>
        </w:rPr>
        <w:t>附件</w:t>
      </w:r>
    </w:p>
    <w:p w14:paraId="7933E5E3">
      <w:pPr>
        <w:spacing w:before="120" w:after="240" w:line="360" w:lineRule="auto"/>
        <w:jc w:val="center"/>
        <w:rPr>
          <w:lang w:eastAsia="zh-CN"/>
        </w:rPr>
      </w:pPr>
      <w:r>
        <w:rPr>
          <w:rFonts w:ascii="黑体" w:hAnsi="黑体" w:eastAsia="黑体"/>
          <w:sz w:val="36"/>
          <w:lang w:eastAsia="zh-CN"/>
        </w:rPr>
        <w:t>技术要求和评分标准</w:t>
      </w:r>
    </w:p>
    <w:p w14:paraId="436C8AC3">
      <w:pPr>
        <w:spacing w:before="240" w:after="120" w:line="360" w:lineRule="auto"/>
        <w:rPr>
          <w:lang w:eastAsia="zh-CN"/>
        </w:rPr>
      </w:pPr>
      <w:r>
        <w:rPr>
          <w:rFonts w:ascii="黑体" w:hAnsi="黑体" w:eastAsia="黑体"/>
          <w:sz w:val="30"/>
          <w:lang w:eastAsia="zh-CN"/>
        </w:rPr>
        <w:t>一、需求一览表</w:t>
      </w:r>
    </w:p>
    <w:tbl>
      <w:tblPr>
        <w:tblStyle w:val="34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"/>
        <w:gridCol w:w="1613"/>
        <w:gridCol w:w="838"/>
        <w:gridCol w:w="5093"/>
      </w:tblGrid>
      <w:tr w14:paraId="52EE6A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2" w:type="dxa"/>
            <w:shd w:val="clear" w:color="auto" w:fill="D9D9D9"/>
            <w:vAlign w:val="center"/>
          </w:tcPr>
          <w:p w14:paraId="345AFDC3">
            <w:pPr>
              <w:spacing w:before="40" w:after="40" w:line="300" w:lineRule="auto"/>
              <w:jc w:val="center"/>
              <w:rPr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序号</w:t>
            </w:r>
          </w:p>
        </w:tc>
        <w:tc>
          <w:tcPr>
            <w:tcW w:w="1613" w:type="dxa"/>
            <w:shd w:val="clear" w:color="auto" w:fill="D9D9D9"/>
            <w:vAlign w:val="center"/>
          </w:tcPr>
          <w:p w14:paraId="3F5E301D">
            <w:pPr>
              <w:spacing w:before="40" w:after="40" w:line="300" w:lineRule="auto"/>
              <w:jc w:val="center"/>
              <w:rPr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产品名称</w:t>
            </w:r>
          </w:p>
        </w:tc>
        <w:tc>
          <w:tcPr>
            <w:tcW w:w="838" w:type="dxa"/>
            <w:shd w:val="clear" w:color="auto" w:fill="D9D9D9"/>
            <w:vAlign w:val="center"/>
          </w:tcPr>
          <w:p w14:paraId="20CFD7E0">
            <w:pPr>
              <w:spacing w:before="40" w:after="40" w:line="300" w:lineRule="auto"/>
              <w:jc w:val="center"/>
              <w:rPr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数量</w:t>
            </w:r>
          </w:p>
        </w:tc>
        <w:tc>
          <w:tcPr>
            <w:tcW w:w="5093" w:type="dxa"/>
            <w:shd w:val="clear" w:color="auto" w:fill="D9D9D9"/>
            <w:vAlign w:val="center"/>
          </w:tcPr>
          <w:p w14:paraId="5383C0E6">
            <w:pPr>
              <w:spacing w:before="40" w:after="40" w:line="300" w:lineRule="auto"/>
              <w:jc w:val="center"/>
              <w:rPr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包含内容</w:t>
            </w:r>
          </w:p>
        </w:tc>
      </w:tr>
      <w:tr w14:paraId="76AF5D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2" w:type="dxa"/>
            <w:vAlign w:val="center"/>
          </w:tcPr>
          <w:p w14:paraId="59CBE93F">
            <w:pPr>
              <w:spacing w:before="40" w:after="40"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1613" w:type="dxa"/>
            <w:vAlign w:val="center"/>
          </w:tcPr>
          <w:p w14:paraId="0AEBE70D">
            <w:pPr>
              <w:spacing w:before="40" w:after="40" w:line="300" w:lineRule="auto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64路</w:t>
            </w: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>火点告警磁盘控制器</w:t>
            </w:r>
          </w:p>
        </w:tc>
        <w:tc>
          <w:tcPr>
            <w:tcW w:w="838" w:type="dxa"/>
            <w:vAlign w:val="center"/>
          </w:tcPr>
          <w:p w14:paraId="6DBD3088">
            <w:pPr>
              <w:spacing w:before="40" w:after="40"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1套</w:t>
            </w:r>
          </w:p>
        </w:tc>
        <w:tc>
          <w:tcPr>
            <w:tcW w:w="5093" w:type="dxa"/>
            <w:vAlign w:val="center"/>
          </w:tcPr>
          <w:p w14:paraId="75A6B9E0">
            <w:pPr>
              <w:spacing w:before="40" w:after="40" w:line="300" w:lineRule="auto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>包含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64路</w:t>
            </w: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>火点告警磁盘控制器；</w:t>
            </w:r>
          </w:p>
          <w:p w14:paraId="7D43E2D6">
            <w:pPr>
              <w:spacing w:before="40" w:after="40" w:line="300" w:lineRule="auto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>包含设备的安装、调试；</w:t>
            </w:r>
          </w:p>
          <w:p w14:paraId="32194E4D">
            <w:pPr>
              <w:spacing w:before="40" w:after="40" w:line="300" w:lineRule="auto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>并与现有消防报警管理系统、视频监控管理平台的信号对接与联动配置。</w:t>
            </w:r>
          </w:p>
        </w:tc>
      </w:tr>
      <w:tr w14:paraId="574EB3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2" w:type="dxa"/>
            <w:vAlign w:val="center"/>
          </w:tcPr>
          <w:p w14:paraId="46AF2990">
            <w:pPr>
              <w:spacing w:before="40" w:after="40"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1613" w:type="dxa"/>
            <w:vAlign w:val="center"/>
          </w:tcPr>
          <w:p w14:paraId="407CD5BB">
            <w:pPr>
              <w:spacing w:before="40" w:after="40" w:line="30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边缘智能分析盒</w:t>
            </w:r>
          </w:p>
        </w:tc>
        <w:tc>
          <w:tcPr>
            <w:tcW w:w="838" w:type="dxa"/>
            <w:vAlign w:val="center"/>
          </w:tcPr>
          <w:p w14:paraId="7D4C9A5A">
            <w:pPr>
              <w:spacing w:before="40" w:after="40"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1套</w:t>
            </w:r>
          </w:p>
        </w:tc>
        <w:tc>
          <w:tcPr>
            <w:tcW w:w="5093" w:type="dxa"/>
            <w:vAlign w:val="center"/>
          </w:tcPr>
          <w:p w14:paraId="2199DB07">
            <w:pPr>
              <w:spacing w:before="40" w:after="40" w:line="300" w:lineRule="auto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>包含边缘智能分析盒；</w:t>
            </w:r>
          </w:p>
          <w:p w14:paraId="359A684C">
            <w:pPr>
              <w:spacing w:before="40" w:after="40" w:line="300" w:lineRule="auto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包含</w:t>
            </w: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>设备的安装、调试；</w:t>
            </w:r>
          </w:p>
          <w:p w14:paraId="3E820680">
            <w:pPr>
              <w:spacing w:before="40" w:after="40" w:line="300" w:lineRule="auto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>具有协议转换与信号转换功能；</w:t>
            </w:r>
          </w:p>
          <w:p w14:paraId="5F2BEE04">
            <w:pPr>
              <w:spacing w:before="40" w:after="40" w:line="300" w:lineRule="auto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并具有相关的智能分析功能。</w:t>
            </w:r>
          </w:p>
          <w:p w14:paraId="699FF580">
            <w:pPr>
              <w:spacing w:before="40" w:after="40" w:line="300" w:lineRule="auto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>将现有消防报警管理系统输出的报警信号转换为标准网络信号（ONVIF/GB/T28181/RTSP 等）。</w:t>
            </w:r>
          </w:p>
        </w:tc>
      </w:tr>
      <w:tr w14:paraId="5DAB33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2" w:type="dxa"/>
            <w:vAlign w:val="center"/>
          </w:tcPr>
          <w:p w14:paraId="54B64279">
            <w:pPr>
              <w:spacing w:before="40" w:after="40"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说明</w:t>
            </w:r>
          </w:p>
        </w:tc>
        <w:tc>
          <w:tcPr>
            <w:tcW w:w="7544" w:type="dxa"/>
            <w:gridSpan w:val="3"/>
            <w:vAlign w:val="center"/>
          </w:tcPr>
          <w:p w14:paraId="4885185C">
            <w:pPr>
              <w:spacing w:before="40" w:after="40" w:line="300" w:lineRule="auto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>报价说明：</w:t>
            </w:r>
          </w:p>
          <w:p w14:paraId="78BB6F05">
            <w:pPr>
              <w:spacing w:before="40" w:after="40" w:line="300" w:lineRule="auto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>报价应包含所需的全部设备、管线及辅材等，以及实现消防报警与视频监控联动功能的全部费用；并含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韧体、软体订制开发</w:t>
            </w: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>的总报价。</w:t>
            </w:r>
          </w:p>
        </w:tc>
      </w:tr>
    </w:tbl>
    <w:p w14:paraId="1DAAC4CD">
      <w:pPr>
        <w:spacing w:after="80" w:line="360" w:lineRule="auto"/>
        <w:rPr>
          <w:rFonts w:eastAsia="宋体"/>
          <w:lang w:eastAsia="zh-CN"/>
        </w:rPr>
      </w:pPr>
    </w:p>
    <w:p w14:paraId="33C39BDB">
      <w:pPr>
        <w:spacing w:after="80" w:line="360" w:lineRule="auto"/>
        <w:rPr>
          <w:rFonts w:eastAsia="宋体"/>
          <w:lang w:eastAsia="zh-CN"/>
        </w:rPr>
      </w:pPr>
    </w:p>
    <w:p w14:paraId="62BD87B8">
      <w:pPr>
        <w:spacing w:after="80" w:line="360" w:lineRule="auto"/>
        <w:rPr>
          <w:rFonts w:eastAsia="宋体"/>
          <w:lang w:eastAsia="zh-CN"/>
        </w:rPr>
      </w:pPr>
    </w:p>
    <w:p w14:paraId="4DDA4928">
      <w:pPr>
        <w:spacing w:after="80" w:line="440" w:lineRule="exact"/>
        <w:rPr>
          <w:rFonts w:eastAsia="宋体"/>
          <w:lang w:eastAsia="zh-CN"/>
        </w:rPr>
      </w:pPr>
    </w:p>
    <w:p w14:paraId="4E6E257F">
      <w:pPr>
        <w:spacing w:after="80" w:line="440" w:lineRule="exact"/>
        <w:rPr>
          <w:rFonts w:eastAsia="宋体"/>
          <w:lang w:eastAsia="zh-CN"/>
        </w:rPr>
      </w:pPr>
    </w:p>
    <w:p w14:paraId="0306DE7F">
      <w:pPr>
        <w:spacing w:after="80" w:line="440" w:lineRule="exact"/>
        <w:rPr>
          <w:rFonts w:eastAsia="宋体"/>
          <w:lang w:eastAsia="zh-CN"/>
        </w:rPr>
      </w:pPr>
    </w:p>
    <w:p w14:paraId="5D326553">
      <w:pPr>
        <w:spacing w:after="80" w:line="440" w:lineRule="exact"/>
        <w:rPr>
          <w:rFonts w:eastAsia="宋体"/>
          <w:lang w:eastAsia="zh-CN"/>
        </w:rPr>
      </w:pPr>
    </w:p>
    <w:p w14:paraId="7177A80B">
      <w:pPr>
        <w:spacing w:after="80" w:line="440" w:lineRule="exact"/>
        <w:rPr>
          <w:rFonts w:eastAsia="宋体"/>
          <w:lang w:eastAsia="zh-CN"/>
        </w:rPr>
      </w:pPr>
    </w:p>
    <w:p w14:paraId="24F345F3">
      <w:pPr>
        <w:spacing w:after="80" w:line="440" w:lineRule="exact"/>
        <w:rPr>
          <w:rFonts w:eastAsia="宋体"/>
          <w:lang w:eastAsia="zh-CN"/>
        </w:rPr>
      </w:pPr>
    </w:p>
    <w:p w14:paraId="67F0FBEE">
      <w:pPr>
        <w:spacing w:after="80" w:line="440" w:lineRule="exact"/>
        <w:rPr>
          <w:rFonts w:eastAsia="宋体"/>
          <w:lang w:eastAsia="zh-CN"/>
        </w:rPr>
      </w:pPr>
    </w:p>
    <w:p w14:paraId="530C438D">
      <w:pPr>
        <w:spacing w:before="240" w:after="120" w:line="440" w:lineRule="exact"/>
        <w:rPr>
          <w:lang w:eastAsia="zh-CN"/>
        </w:rPr>
      </w:pPr>
      <w:r>
        <w:rPr>
          <w:rFonts w:ascii="黑体" w:hAnsi="黑体" w:eastAsia="黑体"/>
          <w:sz w:val="30"/>
          <w:lang w:eastAsia="zh-CN"/>
        </w:rPr>
        <w:t>二、技术要求</w:t>
      </w:r>
    </w:p>
    <w:p w14:paraId="48D802B6">
      <w:pPr>
        <w:spacing w:before="160" w:after="80" w:line="440" w:lineRule="exact"/>
        <w:rPr>
          <w:sz w:val="28"/>
          <w:szCs w:val="28"/>
          <w:lang w:eastAsia="zh-CN"/>
        </w:rPr>
      </w:pPr>
      <w:r>
        <w:rPr>
          <w:rFonts w:ascii="黑体" w:hAnsi="黑体" w:eastAsia="黑体"/>
          <w:sz w:val="28"/>
          <w:szCs w:val="28"/>
          <w:lang w:eastAsia="zh-CN"/>
        </w:rPr>
        <w:t>(一)项目概述</w:t>
      </w:r>
    </w:p>
    <w:p w14:paraId="727EA9A5">
      <w:pPr>
        <w:spacing w:before="120" w:after="120" w:line="440" w:lineRule="exact"/>
        <w:ind w:firstLine="480"/>
        <w:jc w:val="both"/>
        <w:rPr>
          <w:rFonts w:ascii="仿宋" w:hAnsi="仿宋" w:eastAsia="仿宋"/>
          <w:sz w:val="28"/>
          <w:szCs w:val="28"/>
          <w:lang w:eastAsia="zh-CN"/>
        </w:rPr>
      </w:pPr>
      <w:r>
        <w:rPr>
          <w:rFonts w:ascii="仿宋" w:hAnsi="仿宋" w:eastAsia="仿宋"/>
          <w:sz w:val="28"/>
          <w:szCs w:val="28"/>
          <w:lang w:eastAsia="zh-CN"/>
        </w:rPr>
        <w:t>本项目为64</w:t>
      </w:r>
      <w:r>
        <w:rPr>
          <w:rFonts w:hint="eastAsia" w:ascii="仿宋" w:hAnsi="仿宋" w:eastAsia="仿宋"/>
          <w:sz w:val="28"/>
          <w:szCs w:val="28"/>
          <w:lang w:eastAsia="zh-CN"/>
        </w:rPr>
        <w:t>路火点告警磁盘控制器采购项目</w:t>
      </w:r>
      <w:r>
        <w:rPr>
          <w:rFonts w:ascii="仿宋" w:hAnsi="仿宋" w:eastAsia="仿宋"/>
          <w:sz w:val="28"/>
          <w:szCs w:val="28"/>
          <w:lang w:eastAsia="zh-CN"/>
        </w:rPr>
        <w:t>。依托</w:t>
      </w:r>
      <w:r>
        <w:rPr>
          <w:rFonts w:hint="eastAsia" w:ascii="仿宋" w:hAnsi="仿宋" w:eastAsia="仿宋"/>
          <w:sz w:val="28"/>
          <w:szCs w:val="28"/>
          <w:lang w:eastAsia="zh-CN"/>
        </w:rPr>
        <w:t>比选人</w:t>
      </w:r>
      <w:r>
        <w:rPr>
          <w:rFonts w:ascii="仿宋" w:hAnsi="仿宋" w:eastAsia="仿宋"/>
          <w:sz w:val="28"/>
          <w:szCs w:val="28"/>
          <w:lang w:eastAsia="zh-CN"/>
        </w:rPr>
        <w:t>现有海湾消防报警管理系统与现有宇视视频监控管理平台，通过新增火点告警磁盘控制器与边缘智能分析盒，实现火灾报警信号与视频监控的实时联动。当消防报警管理系统产生火警（或预警）信号时，系统自动调取报警点关联的视频图像，在监控中心进行弹窗（切换）显示，并在管理端同步弹出报警信息，辅助值班人员第一时间核实火情、确认现场，缩短应急响应时间。</w:t>
      </w:r>
    </w:p>
    <w:p w14:paraId="137D4082">
      <w:pPr>
        <w:spacing w:before="120" w:after="120" w:line="440" w:lineRule="exact"/>
        <w:ind w:firstLine="480"/>
        <w:jc w:val="both"/>
        <w:rPr>
          <w:rFonts w:ascii="仿宋" w:hAnsi="仿宋" w:eastAsia="仿宋"/>
          <w:sz w:val="28"/>
          <w:szCs w:val="28"/>
          <w:lang w:eastAsia="zh-CN"/>
        </w:rPr>
      </w:pPr>
      <w:r>
        <w:rPr>
          <w:rFonts w:ascii="仿宋" w:hAnsi="仿宋" w:eastAsia="仿宋"/>
          <w:sz w:val="28"/>
          <w:szCs w:val="28"/>
          <w:lang w:eastAsia="zh-CN"/>
        </w:rPr>
        <w:t>系统建设不改变、不替代现有消防报警管理系统与视频监控管理平台的主体结构，仅进行信号对接与功能联动。</w:t>
      </w:r>
    </w:p>
    <w:p w14:paraId="6A2C66AA">
      <w:pPr>
        <w:spacing w:before="160" w:after="80" w:line="440" w:lineRule="exact"/>
        <w:rPr>
          <w:sz w:val="28"/>
          <w:szCs w:val="28"/>
          <w:lang w:eastAsia="zh-CN"/>
        </w:rPr>
      </w:pPr>
      <w:r>
        <w:rPr>
          <w:rFonts w:ascii="黑体" w:hAnsi="黑体" w:eastAsia="黑体"/>
          <w:sz w:val="28"/>
          <w:szCs w:val="28"/>
          <w:lang w:eastAsia="zh-CN"/>
        </w:rPr>
        <w:t>(二)主要功能</w:t>
      </w:r>
    </w:p>
    <w:p w14:paraId="5656699F">
      <w:pPr>
        <w:spacing w:before="40" w:after="40" w:line="440" w:lineRule="exact"/>
        <w:ind w:firstLine="480"/>
        <w:jc w:val="both"/>
        <w:rPr>
          <w:rFonts w:ascii="仿宋" w:hAnsi="仿宋" w:eastAsia="仿宋"/>
          <w:sz w:val="28"/>
          <w:szCs w:val="28"/>
          <w:lang w:eastAsia="zh-CN"/>
        </w:rPr>
      </w:pPr>
      <w:r>
        <w:rPr>
          <w:rFonts w:ascii="仿宋" w:hAnsi="仿宋" w:eastAsia="仿宋"/>
          <w:sz w:val="28"/>
          <w:szCs w:val="28"/>
          <w:lang w:eastAsia="zh-CN"/>
        </w:rPr>
        <w:t>1.消防报警与视频监控联动：将现有消防报警管理系统的火警/故障信号接入联动装置，实现报警信号与视频监控通道的关联映射。</w:t>
      </w:r>
    </w:p>
    <w:p w14:paraId="19B0D1D4">
      <w:pPr>
        <w:spacing w:before="40" w:after="40" w:line="440" w:lineRule="exact"/>
        <w:ind w:firstLine="480"/>
        <w:jc w:val="both"/>
        <w:rPr>
          <w:rFonts w:ascii="仿宋" w:hAnsi="仿宋" w:eastAsia="仿宋"/>
          <w:sz w:val="28"/>
          <w:szCs w:val="28"/>
          <w:lang w:eastAsia="zh-CN"/>
        </w:rPr>
      </w:pPr>
      <w:r>
        <w:rPr>
          <w:rFonts w:ascii="仿宋" w:hAnsi="仿宋" w:eastAsia="仿宋"/>
          <w:sz w:val="28"/>
          <w:szCs w:val="28"/>
          <w:lang w:eastAsia="zh-CN"/>
        </w:rPr>
        <w:t>2.</w:t>
      </w:r>
      <w:r>
        <w:rPr>
          <w:rFonts w:hint="eastAsia" w:ascii="仿宋" w:hAnsi="仿宋" w:eastAsia="仿宋"/>
          <w:sz w:val="28"/>
          <w:szCs w:val="28"/>
          <w:lang w:eastAsia="zh-CN"/>
        </w:rPr>
        <w:t>视频</w:t>
      </w:r>
      <w:r>
        <w:rPr>
          <w:rFonts w:ascii="仿宋" w:hAnsi="仿宋" w:eastAsia="仿宋"/>
          <w:sz w:val="28"/>
          <w:szCs w:val="28"/>
          <w:lang w:eastAsia="zh-CN"/>
        </w:rPr>
        <w:t>弹窗显示：报警触发后，关联点位的监控视频画面在监控中心自动弹出或切换显示，支持报警点位优先呈现。</w:t>
      </w:r>
    </w:p>
    <w:p w14:paraId="623CFA85">
      <w:pPr>
        <w:spacing w:before="40" w:after="40" w:line="440" w:lineRule="exact"/>
        <w:ind w:firstLine="480"/>
        <w:jc w:val="both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3</w:t>
      </w:r>
      <w:r>
        <w:rPr>
          <w:rFonts w:ascii="仿宋" w:hAnsi="仿宋" w:eastAsia="仿宋"/>
          <w:sz w:val="28"/>
          <w:szCs w:val="28"/>
          <w:lang w:eastAsia="zh-CN"/>
        </w:rPr>
        <w:t>.协议转换与信号转换：边缘智能分析盒</w:t>
      </w:r>
      <w:r>
        <w:rPr>
          <w:rFonts w:hint="eastAsia" w:ascii="仿宋" w:hAnsi="仿宋" w:eastAsia="仿宋"/>
          <w:sz w:val="28"/>
          <w:szCs w:val="28"/>
          <w:lang w:eastAsia="zh-CN"/>
        </w:rPr>
        <w:t>（具有协议转换功能）</w:t>
      </w:r>
      <w:r>
        <w:rPr>
          <w:rFonts w:ascii="仿宋" w:hAnsi="仿宋" w:eastAsia="仿宋"/>
          <w:sz w:val="28"/>
          <w:szCs w:val="28"/>
          <w:lang w:eastAsia="zh-CN"/>
        </w:rPr>
        <w:t>，将现有消防报警管理系统输出的报警信号转换为标准网络信号，</w:t>
      </w:r>
      <w:r>
        <w:rPr>
          <w:rFonts w:hint="eastAsia" w:ascii="仿宋" w:hAnsi="仿宋" w:eastAsia="仿宋"/>
          <w:sz w:val="28"/>
          <w:szCs w:val="28"/>
          <w:lang w:eastAsia="zh-CN"/>
        </w:rPr>
        <w:t>触发</w:t>
      </w:r>
      <w:r>
        <w:rPr>
          <w:rFonts w:ascii="仿宋" w:hAnsi="仿宋" w:eastAsia="仿宋"/>
          <w:sz w:val="28"/>
          <w:szCs w:val="28"/>
          <w:lang w:eastAsia="zh-CN"/>
        </w:rPr>
        <w:t>视频监</w:t>
      </w:r>
      <w:r>
        <w:rPr>
          <w:rFonts w:hint="eastAsia" w:ascii="仿宋" w:hAnsi="仿宋" w:eastAsia="仿宋"/>
          <w:sz w:val="28"/>
          <w:szCs w:val="28"/>
          <w:lang w:eastAsia="zh-CN"/>
        </w:rPr>
        <w:t>控</w:t>
      </w:r>
      <w:r>
        <w:rPr>
          <w:rFonts w:ascii="仿宋" w:hAnsi="仿宋" w:eastAsia="仿宋"/>
          <w:sz w:val="28"/>
          <w:szCs w:val="28"/>
          <w:lang w:eastAsia="zh-CN"/>
        </w:rPr>
        <w:t>联动弹窗显示。</w:t>
      </w:r>
    </w:p>
    <w:p w14:paraId="3598EC4B">
      <w:pPr>
        <w:spacing w:before="160" w:after="80" w:line="440" w:lineRule="exact"/>
        <w:rPr>
          <w:sz w:val="28"/>
          <w:szCs w:val="28"/>
          <w:lang w:eastAsia="zh-CN"/>
        </w:rPr>
      </w:pPr>
      <w:r>
        <w:rPr>
          <w:rFonts w:ascii="黑体" w:hAnsi="黑体" w:eastAsia="黑体"/>
          <w:sz w:val="28"/>
          <w:szCs w:val="28"/>
          <w:lang w:eastAsia="zh-CN"/>
        </w:rPr>
        <w:t xml:space="preserve"> (三)配套设备及线缆</w:t>
      </w:r>
    </w:p>
    <w:p w14:paraId="39049142">
      <w:pPr>
        <w:spacing w:before="120" w:after="120" w:line="440" w:lineRule="exact"/>
        <w:ind w:firstLine="480"/>
        <w:jc w:val="both"/>
        <w:rPr>
          <w:rFonts w:ascii="仿宋" w:hAnsi="仿宋" w:eastAsia="仿宋"/>
          <w:sz w:val="28"/>
          <w:szCs w:val="28"/>
          <w:lang w:eastAsia="zh-CN"/>
        </w:rPr>
      </w:pPr>
      <w:r>
        <w:rPr>
          <w:rFonts w:ascii="仿宋" w:hAnsi="仿宋" w:eastAsia="仿宋"/>
          <w:sz w:val="28"/>
          <w:szCs w:val="28"/>
          <w:lang w:eastAsia="zh-CN"/>
        </w:rPr>
        <w:t>服务中提供火点告警磁盘控制器、边缘智能分析盒等全套设备，配置相关的管线辅材等，通过安装调试，实现报警联动视频的功能</w:t>
      </w:r>
    </w:p>
    <w:p w14:paraId="68F9AEB1">
      <w:pPr>
        <w:spacing w:before="240" w:after="120" w:line="440" w:lineRule="exact"/>
        <w:rPr>
          <w:rFonts w:ascii="黑体" w:hAnsi="黑体" w:eastAsia="黑体"/>
          <w:b/>
          <w:sz w:val="30"/>
          <w:lang w:eastAsia="zh-CN"/>
        </w:rPr>
      </w:pPr>
    </w:p>
    <w:p w14:paraId="3691B678">
      <w:pPr>
        <w:spacing w:before="240" w:after="120" w:line="440" w:lineRule="exact"/>
        <w:rPr>
          <w:rFonts w:ascii="黑体" w:hAnsi="黑体" w:eastAsia="黑体"/>
          <w:b/>
          <w:sz w:val="30"/>
          <w:lang w:eastAsia="zh-CN"/>
        </w:rPr>
      </w:pPr>
    </w:p>
    <w:p w14:paraId="4077FC72">
      <w:pPr>
        <w:spacing w:before="240" w:after="120" w:line="440" w:lineRule="exact"/>
        <w:rPr>
          <w:rFonts w:ascii="黑体" w:hAnsi="黑体" w:eastAsia="黑体"/>
          <w:b/>
          <w:sz w:val="30"/>
          <w:lang w:eastAsia="zh-CN"/>
        </w:rPr>
      </w:pPr>
    </w:p>
    <w:p w14:paraId="1A585D2F">
      <w:pPr>
        <w:spacing w:before="240" w:after="120" w:line="440" w:lineRule="exact"/>
        <w:rPr>
          <w:rFonts w:ascii="黑体" w:hAnsi="黑体" w:eastAsia="黑体"/>
          <w:b/>
          <w:sz w:val="30"/>
          <w:lang w:eastAsia="zh-CN"/>
        </w:rPr>
      </w:pPr>
    </w:p>
    <w:p w14:paraId="0681CC92">
      <w:pPr>
        <w:spacing w:before="240" w:after="120" w:line="440" w:lineRule="exact"/>
        <w:rPr>
          <w:lang w:eastAsia="zh-CN"/>
        </w:rPr>
      </w:pPr>
      <w:r>
        <w:rPr>
          <w:rFonts w:ascii="黑体" w:hAnsi="黑体" w:eastAsia="黑体"/>
          <w:sz w:val="30"/>
          <w:lang w:eastAsia="zh-CN"/>
        </w:rPr>
        <w:t>三、主要设备技术参数</w:t>
      </w:r>
    </w:p>
    <w:p w14:paraId="546B4500">
      <w:pPr>
        <w:spacing w:before="160" w:after="80" w:line="440" w:lineRule="exact"/>
        <w:rPr>
          <w:sz w:val="28"/>
          <w:szCs w:val="28"/>
          <w:lang w:eastAsia="zh-CN"/>
        </w:rPr>
      </w:pPr>
      <w:r>
        <w:rPr>
          <w:rFonts w:ascii="黑体" w:hAnsi="黑体" w:eastAsia="黑体"/>
          <w:sz w:val="28"/>
          <w:szCs w:val="28"/>
          <w:lang w:eastAsia="zh-CN"/>
        </w:rPr>
        <w:t>(一)火点告警磁盘控制器</w:t>
      </w:r>
    </w:p>
    <w:p w14:paraId="44405EB9">
      <w:pPr>
        <w:spacing w:before="40" w:after="40" w:line="440" w:lineRule="exact"/>
        <w:jc w:val="both"/>
        <w:rPr>
          <w:rFonts w:ascii="仿宋" w:hAnsi="仿宋" w:eastAsia="仿宋"/>
          <w:sz w:val="28"/>
          <w:szCs w:val="28"/>
          <w:lang w:eastAsia="zh-CN"/>
        </w:rPr>
      </w:pPr>
      <w:r>
        <w:rPr>
          <w:rFonts w:ascii="仿宋" w:hAnsi="仿宋" w:eastAsia="仿宋"/>
          <w:sz w:val="28"/>
          <w:szCs w:val="28"/>
          <w:lang w:eastAsia="zh-CN"/>
        </w:rPr>
        <w:t>1.支持接入消防报警信号，支持干接点（无源开关量）、RS485、TCP/IP 等信号接入方式</w:t>
      </w:r>
      <w:r>
        <w:rPr>
          <w:rFonts w:hint="eastAsia" w:ascii="仿宋" w:hAnsi="仿宋" w:eastAsia="仿宋"/>
          <w:sz w:val="28"/>
          <w:szCs w:val="28"/>
          <w:lang w:eastAsia="zh-CN"/>
        </w:rPr>
        <w:t>，实现报警信号的解析；</w:t>
      </w:r>
    </w:p>
    <w:p w14:paraId="4310E9AC">
      <w:pPr>
        <w:spacing w:before="40" w:after="40" w:line="440" w:lineRule="exact"/>
        <w:jc w:val="both"/>
        <w:rPr>
          <w:rFonts w:ascii="仿宋" w:hAnsi="仿宋" w:eastAsia="仿宋"/>
          <w:sz w:val="28"/>
          <w:szCs w:val="28"/>
          <w:lang w:eastAsia="zh-CN"/>
        </w:rPr>
      </w:pPr>
      <w:r>
        <w:rPr>
          <w:rFonts w:ascii="仿宋" w:hAnsi="仿宋" w:eastAsia="仿宋"/>
          <w:sz w:val="28"/>
          <w:szCs w:val="28"/>
          <w:lang w:eastAsia="zh-CN"/>
        </w:rPr>
        <w:t>2.支持将消防报警信号与视频监控通道进行关联配置，实现报警触发视频联动；</w:t>
      </w:r>
    </w:p>
    <w:p w14:paraId="3A555102">
      <w:pPr>
        <w:spacing w:before="40" w:after="40" w:line="440" w:lineRule="exact"/>
        <w:jc w:val="both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3.</w:t>
      </w:r>
      <w:r>
        <w:rPr>
          <w:rFonts w:ascii="仿宋" w:hAnsi="仿宋" w:eastAsia="仿宋"/>
          <w:sz w:val="28"/>
          <w:szCs w:val="28"/>
          <w:lang w:eastAsia="zh-CN"/>
        </w:rPr>
        <w:t>须与</w:t>
      </w:r>
      <w:r>
        <w:rPr>
          <w:rFonts w:hint="eastAsia" w:ascii="仿宋" w:hAnsi="仿宋" w:eastAsia="仿宋"/>
          <w:sz w:val="28"/>
          <w:szCs w:val="28"/>
          <w:lang w:eastAsia="zh-CN"/>
        </w:rPr>
        <w:t>比选人</w:t>
      </w:r>
      <w:r>
        <w:rPr>
          <w:rFonts w:ascii="仿宋" w:hAnsi="仿宋" w:eastAsia="仿宋"/>
          <w:sz w:val="28"/>
          <w:szCs w:val="28"/>
          <w:lang w:eastAsia="zh-CN"/>
        </w:rPr>
        <w:t>现有视频监控管理平台对接，实现关联视频弹窗显示</w:t>
      </w:r>
    </w:p>
    <w:p w14:paraId="3A2603DF">
      <w:pPr>
        <w:spacing w:before="40" w:after="40" w:line="440" w:lineRule="exact"/>
        <w:jc w:val="both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4</w:t>
      </w:r>
      <w:r>
        <w:rPr>
          <w:rFonts w:ascii="仿宋" w:hAnsi="仿宋" w:eastAsia="仿宋"/>
          <w:sz w:val="28"/>
          <w:szCs w:val="28"/>
          <w:lang w:eastAsia="zh-CN"/>
        </w:rPr>
        <w:t>.设备应为国内知名品牌，</w:t>
      </w:r>
      <w:r>
        <w:rPr>
          <w:rFonts w:hint="eastAsia" w:ascii="仿宋" w:hAnsi="仿宋" w:eastAsia="仿宋"/>
          <w:sz w:val="28"/>
          <w:szCs w:val="28"/>
          <w:lang w:eastAsia="zh-CN"/>
        </w:rPr>
        <w:t>产品必须兼容现有海湾消防报警系统、宇视视频监控系统，</w:t>
      </w:r>
      <w:r>
        <w:rPr>
          <w:rFonts w:ascii="仿宋" w:hAnsi="仿宋" w:eastAsia="仿宋"/>
          <w:sz w:val="28"/>
          <w:szCs w:val="28"/>
          <w:lang w:eastAsia="zh-CN"/>
        </w:rPr>
        <w:t>实现消防报警信号</w:t>
      </w:r>
      <w:r>
        <w:rPr>
          <w:rFonts w:hint="eastAsia" w:ascii="仿宋" w:hAnsi="仿宋" w:eastAsia="仿宋"/>
          <w:sz w:val="28"/>
          <w:szCs w:val="28"/>
          <w:lang w:eastAsia="zh-CN"/>
        </w:rPr>
        <w:t>与视频监控系统联动弹窗监看</w:t>
      </w:r>
      <w:r>
        <w:rPr>
          <w:rFonts w:ascii="仿宋" w:hAnsi="仿宋" w:eastAsia="仿宋"/>
          <w:sz w:val="28"/>
          <w:szCs w:val="28"/>
          <w:lang w:eastAsia="zh-CN"/>
        </w:rPr>
        <w:t>。</w:t>
      </w:r>
    </w:p>
    <w:p w14:paraId="3DAC9054">
      <w:pPr>
        <w:spacing w:before="160" w:after="80" w:line="440" w:lineRule="exact"/>
        <w:rPr>
          <w:sz w:val="28"/>
          <w:szCs w:val="28"/>
          <w:lang w:eastAsia="zh-CN"/>
        </w:rPr>
      </w:pPr>
      <w:r>
        <w:rPr>
          <w:rFonts w:ascii="黑体" w:hAnsi="黑体" w:eastAsia="黑体"/>
          <w:sz w:val="28"/>
          <w:szCs w:val="28"/>
          <w:lang w:eastAsia="zh-CN"/>
        </w:rPr>
        <w:t xml:space="preserve"> (二)边缘智能分析盒</w:t>
      </w:r>
    </w:p>
    <w:p w14:paraId="24556014">
      <w:pPr>
        <w:pStyle w:val="146"/>
        <w:numPr>
          <w:ilvl w:val="0"/>
          <w:numId w:val="7"/>
        </w:numPr>
        <w:spacing w:before="160" w:after="80" w:line="440" w:lineRule="exact"/>
        <w:rPr>
          <w:rFonts w:ascii="仿宋" w:hAnsi="仿宋" w:eastAsia="仿宋"/>
          <w:sz w:val="28"/>
          <w:szCs w:val="28"/>
          <w:lang w:eastAsia="zh-CN"/>
        </w:rPr>
      </w:pPr>
      <w:r>
        <w:rPr>
          <w:rFonts w:ascii="仿宋" w:hAnsi="仿宋" w:eastAsia="仿宋"/>
          <w:sz w:val="28"/>
          <w:szCs w:val="28"/>
          <w:lang w:eastAsia="zh-CN"/>
        </w:rPr>
        <w:t>设备</w:t>
      </w:r>
      <w:r>
        <w:rPr>
          <w:rFonts w:hint="eastAsia" w:ascii="仿宋" w:hAnsi="仿宋" w:eastAsia="仿宋"/>
          <w:sz w:val="28"/>
          <w:szCs w:val="28"/>
          <w:lang w:eastAsia="zh-CN"/>
        </w:rPr>
        <w:t>具有</w:t>
      </w:r>
      <w:r>
        <w:rPr>
          <w:rFonts w:ascii="仿宋" w:hAnsi="仿宋" w:eastAsia="仿宋"/>
          <w:sz w:val="28"/>
          <w:szCs w:val="28"/>
          <w:lang w:eastAsia="zh-CN"/>
        </w:rPr>
        <w:t>为消防报警信号与视频监控系统之间的协议转换与信号</w:t>
      </w:r>
      <w:r>
        <w:rPr>
          <w:rFonts w:hint="eastAsia" w:ascii="仿宋" w:hAnsi="仿宋" w:eastAsia="仿宋"/>
          <w:sz w:val="28"/>
          <w:szCs w:val="28"/>
          <w:lang w:eastAsia="zh-CN"/>
        </w:rPr>
        <w:t>采集、</w:t>
      </w:r>
      <w:r>
        <w:rPr>
          <w:rFonts w:ascii="仿宋" w:hAnsi="仿宋" w:eastAsia="仿宋"/>
          <w:sz w:val="28"/>
          <w:szCs w:val="28"/>
          <w:lang w:eastAsia="zh-CN"/>
        </w:rPr>
        <w:t>转换</w:t>
      </w:r>
      <w:r>
        <w:rPr>
          <w:rFonts w:hint="eastAsia" w:ascii="仿宋" w:hAnsi="仿宋" w:eastAsia="仿宋"/>
          <w:sz w:val="28"/>
          <w:szCs w:val="28"/>
          <w:lang w:eastAsia="zh-CN"/>
        </w:rPr>
        <w:t>功能</w:t>
      </w:r>
      <w:r>
        <w:rPr>
          <w:rFonts w:ascii="仿宋" w:hAnsi="仿宋" w:eastAsia="仿宋"/>
          <w:sz w:val="28"/>
          <w:szCs w:val="28"/>
          <w:lang w:eastAsia="zh-CN"/>
        </w:rPr>
        <w:t>，支持将消防报警信号转换为标准网络信号；</w:t>
      </w:r>
    </w:p>
    <w:p w14:paraId="2B5737A5">
      <w:pPr>
        <w:pStyle w:val="146"/>
        <w:numPr>
          <w:ilvl w:val="0"/>
          <w:numId w:val="7"/>
        </w:numPr>
        <w:spacing w:before="160" w:after="80" w:line="440" w:lineRule="exact"/>
        <w:rPr>
          <w:rFonts w:ascii="仿宋" w:hAnsi="仿宋" w:eastAsia="仿宋"/>
          <w:sz w:val="28"/>
          <w:szCs w:val="28"/>
          <w:lang w:eastAsia="zh-CN"/>
        </w:rPr>
      </w:pPr>
      <w:r>
        <w:rPr>
          <w:rFonts w:ascii="仿宋" w:hAnsi="仿宋" w:eastAsia="仿宋"/>
          <w:sz w:val="28"/>
          <w:szCs w:val="28"/>
          <w:lang w:eastAsia="zh-CN"/>
        </w:rPr>
        <w:t>信号采集：支持接入现有消防报警管理系统输出的报警信号，支持干接点（无源开关量）、RS485、RS232、4-20mA 等信号接入方式；</w:t>
      </w:r>
    </w:p>
    <w:p w14:paraId="30282196">
      <w:pPr>
        <w:pStyle w:val="146"/>
        <w:numPr>
          <w:ilvl w:val="0"/>
          <w:numId w:val="7"/>
        </w:numPr>
        <w:spacing w:before="160" w:after="80" w:line="440" w:lineRule="exact"/>
        <w:rPr>
          <w:rFonts w:ascii="仿宋" w:hAnsi="仿宋" w:eastAsia="仿宋"/>
          <w:sz w:val="28"/>
          <w:szCs w:val="28"/>
          <w:lang w:eastAsia="zh-CN"/>
        </w:rPr>
      </w:pPr>
      <w:r>
        <w:rPr>
          <w:rFonts w:ascii="仿宋" w:hAnsi="仿宋" w:eastAsia="仿宋"/>
          <w:sz w:val="28"/>
          <w:szCs w:val="28"/>
          <w:lang w:eastAsia="zh-CN"/>
        </w:rPr>
        <w:t>协议转换：将上述消防报警信号转换为基于 TCP/IP 的网络信号；</w:t>
      </w:r>
    </w:p>
    <w:p w14:paraId="590AAA6A">
      <w:pPr>
        <w:pStyle w:val="146"/>
        <w:numPr>
          <w:ilvl w:val="0"/>
          <w:numId w:val="7"/>
        </w:numPr>
        <w:spacing w:before="160" w:after="80" w:line="440" w:lineRule="exact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具有相关边缘智能分析功能；</w:t>
      </w:r>
    </w:p>
    <w:p w14:paraId="660F8BB5">
      <w:pPr>
        <w:pStyle w:val="146"/>
        <w:numPr>
          <w:ilvl w:val="0"/>
          <w:numId w:val="7"/>
        </w:numPr>
        <w:spacing w:before="160" w:after="80" w:line="440" w:lineRule="exact"/>
        <w:rPr>
          <w:rFonts w:ascii="仿宋" w:hAnsi="仿宋" w:eastAsia="仿宋"/>
          <w:sz w:val="28"/>
          <w:szCs w:val="28"/>
          <w:lang w:eastAsia="zh-CN"/>
        </w:rPr>
      </w:pPr>
      <w:r>
        <w:rPr>
          <w:rFonts w:ascii="仿宋" w:hAnsi="仿宋" w:eastAsia="仿宋"/>
          <w:sz w:val="28"/>
          <w:szCs w:val="28"/>
          <w:lang w:eastAsia="zh-CN"/>
        </w:rPr>
        <w:t>设备应为国内知名品牌，</w:t>
      </w:r>
      <w:r>
        <w:rPr>
          <w:rFonts w:hint="eastAsia" w:ascii="仿宋" w:hAnsi="仿宋" w:eastAsia="仿宋"/>
          <w:sz w:val="28"/>
          <w:szCs w:val="28"/>
          <w:lang w:eastAsia="zh-CN"/>
        </w:rPr>
        <w:t>产品必须兼容现有海湾消防报警系统、宇视视频监控系统，</w:t>
      </w:r>
      <w:r>
        <w:rPr>
          <w:rFonts w:ascii="仿宋" w:hAnsi="仿宋" w:eastAsia="仿宋"/>
          <w:sz w:val="28"/>
          <w:szCs w:val="28"/>
          <w:lang w:eastAsia="zh-CN"/>
        </w:rPr>
        <w:t>实现消防报警信号</w:t>
      </w:r>
      <w:r>
        <w:rPr>
          <w:rFonts w:hint="eastAsia" w:ascii="仿宋" w:hAnsi="仿宋" w:eastAsia="仿宋"/>
          <w:sz w:val="28"/>
          <w:szCs w:val="28"/>
          <w:lang w:eastAsia="zh-CN"/>
        </w:rPr>
        <w:t>与视频监控系统联动弹窗监看</w:t>
      </w:r>
      <w:r>
        <w:rPr>
          <w:rFonts w:ascii="仿宋" w:hAnsi="仿宋" w:eastAsia="仿宋"/>
          <w:sz w:val="28"/>
          <w:szCs w:val="28"/>
          <w:lang w:eastAsia="zh-CN"/>
        </w:rPr>
        <w:t>。</w:t>
      </w:r>
    </w:p>
    <w:p w14:paraId="6ADECEFF">
      <w:pPr>
        <w:spacing w:before="160" w:after="80" w:line="440" w:lineRule="exact"/>
        <w:rPr>
          <w:rFonts w:ascii="黑体" w:hAnsi="黑体" w:eastAsia="黑体"/>
          <w:sz w:val="28"/>
          <w:szCs w:val="28"/>
          <w:lang w:eastAsia="zh-CN"/>
        </w:rPr>
      </w:pPr>
      <w:r>
        <w:rPr>
          <w:rFonts w:ascii="黑体" w:hAnsi="黑体" w:eastAsia="黑体"/>
          <w:sz w:val="28"/>
          <w:szCs w:val="28"/>
          <w:lang w:eastAsia="zh-CN"/>
        </w:rPr>
        <w:t>(三)配套说明</w:t>
      </w:r>
    </w:p>
    <w:p w14:paraId="1042B360">
      <w:pPr>
        <w:pStyle w:val="146"/>
        <w:numPr>
          <w:ilvl w:val="0"/>
          <w:numId w:val="8"/>
        </w:numPr>
        <w:spacing w:before="40" w:after="40" w:line="440" w:lineRule="exact"/>
        <w:rPr>
          <w:rFonts w:ascii="仿宋" w:hAnsi="仿宋" w:eastAsia="仿宋"/>
          <w:sz w:val="28"/>
          <w:szCs w:val="28"/>
          <w:lang w:eastAsia="zh-CN"/>
        </w:rPr>
      </w:pPr>
      <w:r>
        <w:rPr>
          <w:rFonts w:ascii="仿宋" w:hAnsi="仿宋" w:eastAsia="仿宋"/>
          <w:sz w:val="28"/>
          <w:szCs w:val="28"/>
          <w:lang w:eastAsia="zh-CN"/>
        </w:rPr>
        <w:t>包含相关软件的定制开发、升级等服务；</w:t>
      </w:r>
    </w:p>
    <w:p w14:paraId="554733C2">
      <w:pPr>
        <w:pStyle w:val="146"/>
        <w:numPr>
          <w:ilvl w:val="0"/>
          <w:numId w:val="8"/>
        </w:numPr>
        <w:spacing w:before="160" w:after="80" w:line="440" w:lineRule="exact"/>
        <w:rPr>
          <w:rFonts w:ascii="仿宋" w:hAnsi="仿宋" w:eastAsia="仿宋"/>
          <w:sz w:val="28"/>
          <w:szCs w:val="28"/>
          <w:lang w:eastAsia="zh-CN"/>
        </w:rPr>
      </w:pPr>
      <w:r>
        <w:rPr>
          <w:rFonts w:ascii="仿宋" w:hAnsi="仿宋" w:eastAsia="仿宋"/>
          <w:sz w:val="28"/>
          <w:szCs w:val="28"/>
          <w:lang w:eastAsia="zh-CN"/>
        </w:rPr>
        <w:t>包含相关硬件同软件无缝对接，实现火点告警联动视频的功能；</w:t>
      </w:r>
    </w:p>
    <w:p w14:paraId="5D685731">
      <w:pPr>
        <w:pStyle w:val="146"/>
        <w:numPr>
          <w:ilvl w:val="0"/>
          <w:numId w:val="8"/>
        </w:numPr>
        <w:spacing w:before="160" w:after="80" w:line="440" w:lineRule="exact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包含相关管线辅材的提供，以及安装调试等全套服务。</w:t>
      </w:r>
    </w:p>
    <w:p w14:paraId="3DD997C5">
      <w:pPr>
        <w:spacing w:before="160" w:after="80" w:line="440" w:lineRule="exact"/>
        <w:rPr>
          <w:rFonts w:ascii="仿宋" w:hAnsi="仿宋" w:eastAsia="仿宋"/>
          <w:sz w:val="28"/>
          <w:szCs w:val="28"/>
          <w:lang w:eastAsia="zh-CN"/>
        </w:rPr>
      </w:pPr>
    </w:p>
    <w:p w14:paraId="2F0FF6EE">
      <w:pPr>
        <w:spacing w:before="160" w:after="80" w:line="440" w:lineRule="exact"/>
        <w:rPr>
          <w:rFonts w:ascii="仿宋" w:hAnsi="仿宋" w:eastAsia="仿宋"/>
          <w:sz w:val="28"/>
          <w:szCs w:val="28"/>
          <w:lang w:eastAsia="zh-CN"/>
        </w:rPr>
      </w:pPr>
    </w:p>
    <w:p w14:paraId="6FB1EB6E">
      <w:pPr>
        <w:spacing w:before="160" w:after="80" w:line="440" w:lineRule="exact"/>
        <w:rPr>
          <w:rFonts w:ascii="仿宋" w:hAnsi="仿宋" w:eastAsia="仿宋"/>
          <w:sz w:val="28"/>
          <w:szCs w:val="28"/>
          <w:lang w:eastAsia="zh-CN"/>
        </w:rPr>
      </w:pPr>
    </w:p>
    <w:p w14:paraId="131B9FC2">
      <w:pPr>
        <w:spacing w:before="240" w:after="120" w:line="360" w:lineRule="auto"/>
      </w:pPr>
      <w:r>
        <w:rPr>
          <w:rFonts w:ascii="黑体" w:hAnsi="黑体" w:eastAsia="黑体"/>
          <w:sz w:val="30"/>
        </w:rPr>
        <w:t>四、评分标准</w:t>
      </w:r>
    </w:p>
    <w:tbl>
      <w:tblPr>
        <w:tblStyle w:val="34"/>
        <w:tblW w:w="8899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1254"/>
        <w:gridCol w:w="1032"/>
        <w:gridCol w:w="5308"/>
      </w:tblGrid>
      <w:tr w14:paraId="6F1D70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tblHeader/>
          <w:jc w:val="center"/>
        </w:trPr>
        <w:tc>
          <w:tcPr>
            <w:tcW w:w="1305" w:type="dxa"/>
            <w:shd w:val="clear" w:color="auto" w:fill="D9D9D9"/>
            <w:vAlign w:val="center"/>
          </w:tcPr>
          <w:p w14:paraId="53FDA1C6">
            <w:pPr>
              <w:spacing w:before="40" w:after="4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ascii="黑体" w:hAnsi="黑体" w:eastAsia="黑体"/>
                <w:bCs/>
                <w:sz w:val="24"/>
                <w:szCs w:val="24"/>
              </w:rPr>
              <w:t>项目</w:t>
            </w:r>
          </w:p>
        </w:tc>
        <w:tc>
          <w:tcPr>
            <w:tcW w:w="1254" w:type="dxa"/>
            <w:shd w:val="clear" w:color="auto" w:fill="D9D9D9"/>
            <w:vAlign w:val="center"/>
          </w:tcPr>
          <w:p w14:paraId="473FC9C3">
            <w:pPr>
              <w:spacing w:before="40" w:after="40" w:line="240" w:lineRule="auto"/>
              <w:jc w:val="center"/>
              <w:rPr>
                <w:rFonts w:ascii="黑体" w:hAnsi="黑体" w:eastAsia="黑体"/>
                <w:bCs/>
                <w:sz w:val="24"/>
                <w:szCs w:val="24"/>
                <w:lang w:eastAsia="zh-CN"/>
              </w:rPr>
            </w:pPr>
            <w:r>
              <w:rPr>
                <w:rFonts w:ascii="黑体" w:hAnsi="黑体" w:eastAsia="黑体"/>
                <w:bCs/>
                <w:sz w:val="24"/>
                <w:szCs w:val="24"/>
              </w:rPr>
              <w:t>评分项目</w:t>
            </w:r>
          </w:p>
        </w:tc>
        <w:tc>
          <w:tcPr>
            <w:tcW w:w="1032" w:type="dxa"/>
            <w:shd w:val="clear" w:color="auto" w:fill="D9D9D9"/>
            <w:vAlign w:val="center"/>
          </w:tcPr>
          <w:p w14:paraId="6C2264B3">
            <w:pPr>
              <w:spacing w:before="40" w:after="4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ascii="黑体" w:hAnsi="黑体" w:eastAsia="黑体"/>
                <w:bCs/>
                <w:sz w:val="24"/>
                <w:szCs w:val="24"/>
              </w:rPr>
              <w:t>标准分</w:t>
            </w:r>
          </w:p>
        </w:tc>
        <w:tc>
          <w:tcPr>
            <w:tcW w:w="5308" w:type="dxa"/>
            <w:shd w:val="clear" w:color="auto" w:fill="D9D9D9"/>
            <w:vAlign w:val="center"/>
          </w:tcPr>
          <w:p w14:paraId="1C5B26E4">
            <w:pPr>
              <w:spacing w:before="40" w:after="4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ascii="黑体" w:hAnsi="黑体" w:eastAsia="黑体"/>
                <w:bCs/>
                <w:sz w:val="24"/>
                <w:szCs w:val="24"/>
              </w:rPr>
              <w:t>评分标准</w:t>
            </w:r>
          </w:p>
        </w:tc>
      </w:tr>
      <w:tr w14:paraId="515728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  <w:jc w:val="center"/>
        </w:trPr>
        <w:tc>
          <w:tcPr>
            <w:tcW w:w="1305" w:type="dxa"/>
            <w:vAlign w:val="center"/>
          </w:tcPr>
          <w:p w14:paraId="4DA8F80B">
            <w:pPr>
              <w:spacing w:before="40" w:after="40" w:line="300" w:lineRule="auto"/>
              <w:jc w:val="both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价格部分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35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分）</w:t>
            </w:r>
          </w:p>
        </w:tc>
        <w:tc>
          <w:tcPr>
            <w:tcW w:w="1254" w:type="dxa"/>
            <w:vAlign w:val="center"/>
          </w:tcPr>
          <w:p w14:paraId="2C915F8A">
            <w:pPr>
              <w:spacing w:before="40" w:after="40"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价格评审</w:t>
            </w:r>
          </w:p>
        </w:tc>
        <w:tc>
          <w:tcPr>
            <w:tcW w:w="1032" w:type="dxa"/>
            <w:vAlign w:val="center"/>
          </w:tcPr>
          <w:p w14:paraId="0BD0AD59">
            <w:pPr>
              <w:spacing w:before="40" w:after="40" w:line="300" w:lineRule="auto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35</w:t>
            </w:r>
          </w:p>
        </w:tc>
        <w:tc>
          <w:tcPr>
            <w:tcW w:w="5308" w:type="dxa"/>
            <w:vAlign w:val="center"/>
          </w:tcPr>
          <w:p w14:paraId="629A9C64">
            <w:pPr>
              <w:spacing w:before="40" w:after="40" w:line="300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价格分采用低价优先法计算：满足比选文件要求且货物及安装（含联动实施）总报价最低者为评审基准价，其价格分为满分；其他供应商的价格分统一按下列公式计算：报价得分＝（评审基准价／最终总报价）×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35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，结果保留两位小数。</w:t>
            </w:r>
          </w:p>
        </w:tc>
      </w:tr>
      <w:tr w14:paraId="6AAE6C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  <w:jc w:val="center"/>
        </w:trPr>
        <w:tc>
          <w:tcPr>
            <w:tcW w:w="1305" w:type="dxa"/>
            <w:vMerge w:val="restart"/>
            <w:vAlign w:val="center"/>
          </w:tcPr>
          <w:p w14:paraId="34DFA21A">
            <w:pPr>
              <w:spacing w:before="40" w:after="40" w:line="300" w:lineRule="auto"/>
              <w:jc w:val="both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商务部分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15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分）</w:t>
            </w:r>
          </w:p>
          <w:p w14:paraId="6ABE94A3">
            <w:pPr>
              <w:spacing w:before="40" w:after="40"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54" w:type="dxa"/>
            <w:vAlign w:val="center"/>
          </w:tcPr>
          <w:p w14:paraId="72402CC4">
            <w:pPr>
              <w:spacing w:before="40" w:after="40"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类似业绩</w:t>
            </w:r>
          </w:p>
        </w:tc>
        <w:tc>
          <w:tcPr>
            <w:tcW w:w="1032" w:type="dxa"/>
            <w:vAlign w:val="center"/>
          </w:tcPr>
          <w:p w14:paraId="7F150817">
            <w:pPr>
              <w:spacing w:before="40" w:after="40" w:line="300" w:lineRule="auto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5308" w:type="dxa"/>
            <w:vAlign w:val="center"/>
          </w:tcPr>
          <w:p w14:paraId="2518D51C">
            <w:pPr>
              <w:spacing w:before="40" w:after="40" w:line="300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提供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近3年（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2023年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10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月至今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）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类似业绩（消防报警设备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/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视频监控设备安装或维修等服务），</w:t>
            </w:r>
          </w:p>
          <w:p w14:paraId="609A380C">
            <w:pPr>
              <w:spacing w:before="40" w:after="40" w:line="300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每提供一份得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3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分，最高得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9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分，</w:t>
            </w:r>
          </w:p>
          <w:p w14:paraId="5ECCDFFC">
            <w:pPr>
              <w:spacing w:before="40" w:after="40" w:line="300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需提供合同关键页或验收证明。</w:t>
            </w:r>
          </w:p>
        </w:tc>
      </w:tr>
      <w:tr w14:paraId="296D3F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1305" w:type="dxa"/>
            <w:vMerge w:val="continue"/>
            <w:vAlign w:val="center"/>
          </w:tcPr>
          <w:p w14:paraId="08270CDA">
            <w:pPr>
              <w:rPr>
                <w:rFonts w:ascii="宋体" w:hAnsi="宋体" w:eastAsia="宋体"/>
                <w:sz w:val="24"/>
                <w:szCs w:val="24"/>
                <w:lang w:eastAsia="zh-CN"/>
              </w:rPr>
            </w:pPr>
          </w:p>
        </w:tc>
        <w:tc>
          <w:tcPr>
            <w:tcW w:w="1254" w:type="dxa"/>
            <w:vAlign w:val="center"/>
          </w:tcPr>
          <w:p w14:paraId="5009002E">
            <w:pPr>
              <w:spacing w:before="40" w:after="40"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管理体系认证证书</w:t>
            </w:r>
          </w:p>
        </w:tc>
        <w:tc>
          <w:tcPr>
            <w:tcW w:w="1032" w:type="dxa"/>
            <w:vAlign w:val="center"/>
          </w:tcPr>
          <w:p w14:paraId="676B37D2">
            <w:pPr>
              <w:spacing w:before="40" w:after="40" w:line="300" w:lineRule="auto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5308" w:type="dxa"/>
            <w:vAlign w:val="center"/>
          </w:tcPr>
          <w:p w14:paraId="2D4B726C">
            <w:pPr>
              <w:spacing w:before="40" w:after="40" w:line="300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提供有效的质量管理体系、环境管理体系、职业健康安全管理体系认证证书（任一项），每提供1项得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分，最多得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6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分；未提供不得分。</w:t>
            </w:r>
          </w:p>
        </w:tc>
      </w:tr>
      <w:tr w14:paraId="0DE08B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4" w:hRule="atLeast"/>
          <w:jc w:val="center"/>
        </w:trPr>
        <w:tc>
          <w:tcPr>
            <w:tcW w:w="1305" w:type="dxa"/>
            <w:vMerge w:val="restart"/>
            <w:vAlign w:val="center"/>
          </w:tcPr>
          <w:p w14:paraId="3161BEB3">
            <w:pPr>
              <w:spacing w:before="40" w:after="40" w:line="300" w:lineRule="auto"/>
              <w:jc w:val="both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技术部分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50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分）</w:t>
            </w:r>
          </w:p>
          <w:p w14:paraId="0087960C">
            <w:pPr>
              <w:spacing w:before="40" w:after="40"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4FCD374F">
            <w:pPr>
              <w:spacing w:before="40" w:after="40"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6FD63774">
            <w:pPr>
              <w:spacing w:before="40" w:after="40"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54" w:type="dxa"/>
            <w:vAlign w:val="center"/>
          </w:tcPr>
          <w:p w14:paraId="7C0F4320">
            <w:pPr>
              <w:spacing w:before="40" w:after="40"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技术指标</w:t>
            </w:r>
          </w:p>
        </w:tc>
        <w:tc>
          <w:tcPr>
            <w:tcW w:w="1032" w:type="dxa"/>
            <w:vAlign w:val="center"/>
          </w:tcPr>
          <w:p w14:paraId="695878ED">
            <w:pPr>
              <w:spacing w:before="40" w:after="40" w:line="300" w:lineRule="auto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5308" w:type="dxa"/>
            <w:vAlign w:val="center"/>
          </w:tcPr>
          <w:p w14:paraId="63D5F98A">
            <w:pPr>
              <w:spacing w:before="40" w:after="40" w:line="300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技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术</w:t>
            </w:r>
            <w:r>
              <w:rPr>
                <w:rFonts w:hint="eastAsia" w:ascii="宋体" w:hAnsi="宋体" w:eastAsia="宋体" w:cs="MS Gothic"/>
                <w:sz w:val="21"/>
                <w:szCs w:val="21"/>
                <w:lang w:eastAsia="zh-CN"/>
              </w:rPr>
              <w:t>指标打分：</w:t>
            </w:r>
          </w:p>
          <w:p w14:paraId="4682CF73">
            <w:pPr>
              <w:pStyle w:val="146"/>
              <w:numPr>
                <w:ilvl w:val="0"/>
                <w:numId w:val="9"/>
              </w:numPr>
              <w:spacing w:before="40" w:after="40" w:line="300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设备技术指标完全达标得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5分；</w:t>
            </w:r>
          </w:p>
          <w:p w14:paraId="2DAAD507">
            <w:pPr>
              <w:pStyle w:val="146"/>
              <w:numPr>
                <w:ilvl w:val="0"/>
                <w:numId w:val="9"/>
              </w:numPr>
              <w:spacing w:before="40" w:after="40" w:line="300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质量保障最优得5分；</w:t>
            </w:r>
          </w:p>
          <w:p w14:paraId="68BEFC2B">
            <w:pPr>
              <w:spacing w:before="40" w:after="40" w:line="300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打分标准：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最优的得标准分，其余依次递减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3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分，扣完为止，完全不能体现该项内容的不得分。</w:t>
            </w:r>
          </w:p>
        </w:tc>
      </w:tr>
      <w:tr w14:paraId="2F9278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1305" w:type="dxa"/>
            <w:vMerge w:val="continue"/>
            <w:vAlign w:val="center"/>
          </w:tcPr>
          <w:p w14:paraId="39AD788D">
            <w:pPr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254" w:type="dxa"/>
            <w:vAlign w:val="center"/>
          </w:tcPr>
          <w:p w14:paraId="2A266E2A">
            <w:pPr>
              <w:spacing w:before="40" w:after="40"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集成服务方案</w:t>
            </w:r>
          </w:p>
        </w:tc>
        <w:tc>
          <w:tcPr>
            <w:tcW w:w="1032" w:type="dxa"/>
            <w:vAlign w:val="center"/>
          </w:tcPr>
          <w:p w14:paraId="31C5F01E">
            <w:pPr>
              <w:spacing w:before="40" w:after="40" w:line="300" w:lineRule="auto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5308" w:type="dxa"/>
            <w:vAlign w:val="center"/>
          </w:tcPr>
          <w:p w14:paraId="6FF5201C">
            <w:pPr>
              <w:spacing w:before="40" w:after="40" w:line="300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集成服务方案：</w:t>
            </w:r>
          </w:p>
          <w:p w14:paraId="124332C7">
            <w:pPr>
              <w:pStyle w:val="146"/>
              <w:numPr>
                <w:ilvl w:val="0"/>
                <w:numId w:val="10"/>
              </w:numPr>
              <w:spacing w:before="40" w:after="40" w:line="300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集成服务方案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10分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；</w:t>
            </w:r>
          </w:p>
          <w:p w14:paraId="3FAA54F9">
            <w:pPr>
              <w:pStyle w:val="146"/>
              <w:numPr>
                <w:ilvl w:val="0"/>
                <w:numId w:val="10"/>
              </w:numPr>
              <w:spacing w:before="40" w:after="40" w:line="300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与现有系统对接调试方案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5分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；</w:t>
            </w:r>
          </w:p>
          <w:p w14:paraId="00242118">
            <w:pPr>
              <w:spacing w:before="40" w:after="40" w:line="300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打分标准：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最优的得标准分，其余依次递减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5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分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/3分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，扣完为止，完全不能体现该项内容的不得分。</w:t>
            </w:r>
          </w:p>
        </w:tc>
      </w:tr>
      <w:tr w14:paraId="44BCAD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1305" w:type="dxa"/>
            <w:vMerge w:val="continue"/>
            <w:vAlign w:val="center"/>
          </w:tcPr>
          <w:p w14:paraId="01F94BFA">
            <w:pPr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254" w:type="dxa"/>
            <w:vAlign w:val="center"/>
          </w:tcPr>
          <w:p w14:paraId="2E9CE54E">
            <w:pPr>
              <w:spacing w:before="40" w:after="40" w:line="300" w:lineRule="auto"/>
              <w:jc w:val="center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>供货前准备及保障措施</w:t>
            </w:r>
          </w:p>
        </w:tc>
        <w:tc>
          <w:tcPr>
            <w:tcW w:w="1032" w:type="dxa"/>
            <w:vAlign w:val="center"/>
          </w:tcPr>
          <w:p w14:paraId="0184F2E3">
            <w:pPr>
              <w:spacing w:before="40" w:after="40" w:line="300" w:lineRule="auto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5308" w:type="dxa"/>
            <w:vAlign w:val="center"/>
          </w:tcPr>
          <w:p w14:paraId="62CCCD12">
            <w:pPr>
              <w:spacing w:before="40" w:after="40" w:line="240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供货前准备及保障措施打分：</w:t>
            </w:r>
          </w:p>
          <w:p w14:paraId="3F328405">
            <w:pPr>
              <w:pStyle w:val="146"/>
              <w:numPr>
                <w:ilvl w:val="0"/>
                <w:numId w:val="11"/>
              </w:numPr>
              <w:spacing w:before="40" w:after="40" w:line="240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供货前准备工作5分</w:t>
            </w:r>
          </w:p>
          <w:p w14:paraId="7BFA8647">
            <w:pPr>
              <w:pStyle w:val="146"/>
              <w:numPr>
                <w:ilvl w:val="0"/>
                <w:numId w:val="11"/>
              </w:numPr>
              <w:spacing w:before="40" w:after="40" w:line="240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保障措施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5分</w:t>
            </w:r>
          </w:p>
          <w:p w14:paraId="438D7B59">
            <w:pPr>
              <w:spacing w:before="40" w:after="40" w:line="300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打分标准：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最优的得标准分，其余依次递减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3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分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/2分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，扣完为止，完全不能体现该项内容的不得分。</w:t>
            </w:r>
          </w:p>
        </w:tc>
      </w:tr>
      <w:tr w14:paraId="38C081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  <w:jc w:val="center"/>
        </w:trPr>
        <w:tc>
          <w:tcPr>
            <w:tcW w:w="1305" w:type="dxa"/>
            <w:vMerge w:val="continue"/>
            <w:vAlign w:val="center"/>
          </w:tcPr>
          <w:p w14:paraId="54EBC2B8">
            <w:pPr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  <w:tc>
          <w:tcPr>
            <w:tcW w:w="1254" w:type="dxa"/>
            <w:vAlign w:val="center"/>
          </w:tcPr>
          <w:p w14:paraId="140ED535">
            <w:pPr>
              <w:spacing w:before="40" w:after="40" w:line="30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售后服务</w:t>
            </w:r>
          </w:p>
        </w:tc>
        <w:tc>
          <w:tcPr>
            <w:tcW w:w="1032" w:type="dxa"/>
            <w:vAlign w:val="center"/>
          </w:tcPr>
          <w:p w14:paraId="4A4521B7">
            <w:pPr>
              <w:spacing w:before="40" w:after="40" w:line="300" w:lineRule="auto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5308" w:type="dxa"/>
            <w:vAlign w:val="center"/>
          </w:tcPr>
          <w:p w14:paraId="1ADD15D7">
            <w:pPr>
              <w:spacing w:before="40" w:after="40" w:line="240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售后服务打分：</w:t>
            </w:r>
          </w:p>
          <w:p w14:paraId="07A3A3FE">
            <w:pPr>
              <w:pStyle w:val="146"/>
              <w:numPr>
                <w:ilvl w:val="0"/>
                <w:numId w:val="12"/>
              </w:numPr>
              <w:spacing w:before="40" w:after="40" w:line="240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售后服务方案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5分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、</w:t>
            </w:r>
          </w:p>
          <w:p w14:paraId="38088AEB">
            <w:pPr>
              <w:pStyle w:val="146"/>
              <w:numPr>
                <w:ilvl w:val="0"/>
                <w:numId w:val="12"/>
              </w:numPr>
              <w:spacing w:before="40" w:after="40" w:line="240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技术培训方案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5分</w:t>
            </w:r>
          </w:p>
          <w:p w14:paraId="724BCA14">
            <w:pPr>
              <w:pStyle w:val="146"/>
              <w:numPr>
                <w:ilvl w:val="0"/>
                <w:numId w:val="12"/>
              </w:numPr>
              <w:spacing w:before="40" w:after="40" w:line="240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售后承诺5分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，</w:t>
            </w:r>
          </w:p>
          <w:p w14:paraId="1F73311F">
            <w:pPr>
              <w:spacing w:before="40" w:after="40" w:line="300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打分标准：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最优的得标准分，其余依次递减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3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分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/2分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，扣完为止，完全不能体现该项内容的不得分。</w:t>
            </w:r>
          </w:p>
        </w:tc>
      </w:tr>
      <w:tr w14:paraId="7BD9C9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899" w:type="dxa"/>
            <w:gridSpan w:val="4"/>
            <w:vAlign w:val="center"/>
          </w:tcPr>
          <w:p w14:paraId="757760B7">
            <w:pPr>
              <w:spacing w:before="40" w:after="40"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合计（100分）</w:t>
            </w:r>
          </w:p>
        </w:tc>
      </w:tr>
    </w:tbl>
    <w:p w14:paraId="2AB0E5B1"/>
    <w:sectPr>
      <w:footerReference r:id="rId5" w:type="default"/>
      <w:pgSz w:w="11906" w:h="16838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FD98F6">
    <w:pPr>
      <w:pStyle w:val="26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02E36AA2"/>
    <w:multiLevelType w:val="multilevel"/>
    <w:tmpl w:val="02E36AA2"/>
    <w:lvl w:ilvl="0" w:tentative="0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3C80876"/>
    <w:multiLevelType w:val="multilevel"/>
    <w:tmpl w:val="13C80876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6A00C4E"/>
    <w:multiLevelType w:val="multilevel"/>
    <w:tmpl w:val="26A00C4E"/>
    <w:lvl w:ilvl="0" w:tentative="0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E3713D1"/>
    <w:multiLevelType w:val="multilevel"/>
    <w:tmpl w:val="3E3713D1"/>
    <w:lvl w:ilvl="0" w:tentative="0">
      <w:start w:val="1"/>
      <w:numFmt w:val="decimal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87F4005"/>
    <w:multiLevelType w:val="multilevel"/>
    <w:tmpl w:val="587F400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215732C"/>
    <w:multiLevelType w:val="multilevel"/>
    <w:tmpl w:val="7215732C"/>
    <w:lvl w:ilvl="0" w:tentative="0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10"/>
  </w:num>
  <w:num w:numId="9">
    <w:abstractNumId w:val="6"/>
  </w:num>
  <w:num w:numId="10">
    <w:abstractNumId w:val="8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368FF"/>
    <w:rsid w:val="0006063C"/>
    <w:rsid w:val="0015074B"/>
    <w:rsid w:val="001C25E2"/>
    <w:rsid w:val="001C7072"/>
    <w:rsid w:val="00291EA5"/>
    <w:rsid w:val="0029499C"/>
    <w:rsid w:val="0029639D"/>
    <w:rsid w:val="00326F90"/>
    <w:rsid w:val="00352874"/>
    <w:rsid w:val="00386F8F"/>
    <w:rsid w:val="003C16A5"/>
    <w:rsid w:val="003D610A"/>
    <w:rsid w:val="0042324B"/>
    <w:rsid w:val="004531A3"/>
    <w:rsid w:val="00493705"/>
    <w:rsid w:val="004C13BE"/>
    <w:rsid w:val="004C782A"/>
    <w:rsid w:val="004E343A"/>
    <w:rsid w:val="005574E8"/>
    <w:rsid w:val="00595DFB"/>
    <w:rsid w:val="005D5B85"/>
    <w:rsid w:val="006177EC"/>
    <w:rsid w:val="00626501"/>
    <w:rsid w:val="00667120"/>
    <w:rsid w:val="006961A6"/>
    <w:rsid w:val="007A08FB"/>
    <w:rsid w:val="007D232D"/>
    <w:rsid w:val="008047CE"/>
    <w:rsid w:val="00AA1C37"/>
    <w:rsid w:val="00AA1D8D"/>
    <w:rsid w:val="00B47730"/>
    <w:rsid w:val="00B77CD9"/>
    <w:rsid w:val="00C06B82"/>
    <w:rsid w:val="00C1732B"/>
    <w:rsid w:val="00C77F75"/>
    <w:rsid w:val="00CB0664"/>
    <w:rsid w:val="00D521D7"/>
    <w:rsid w:val="00DE6415"/>
    <w:rsid w:val="00E25FD6"/>
    <w:rsid w:val="00E31577"/>
    <w:rsid w:val="00E54563"/>
    <w:rsid w:val="00EA0583"/>
    <w:rsid w:val="00ED35EA"/>
    <w:rsid w:val="00F05FF6"/>
    <w:rsid w:val="00F76CA9"/>
    <w:rsid w:val="00FC693F"/>
    <w:rsid w:val="139E27C3"/>
    <w:rsid w:val="1632295A"/>
    <w:rsid w:val="1FB52813"/>
    <w:rsid w:val="259D6E44"/>
    <w:rsid w:val="38B60778"/>
    <w:rsid w:val="40CF6E64"/>
    <w:rsid w:val="61300818"/>
    <w:rsid w:val="62BB0104"/>
    <w:rsid w:val="62CF182B"/>
    <w:rsid w:val="63AC7512"/>
    <w:rsid w:val="72A83EC2"/>
    <w:rsid w:val="759E30DD"/>
    <w:rsid w:val="7C7621A8"/>
    <w:rsid w:val="7F476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2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0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semiHidden/>
    <w:unhideWhenUsed/>
    <w:qFormat/>
    <w:uiPriority w:val="99"/>
  </w:style>
  <w:style w:type="paragraph" w:styleId="18">
    <w:name w:val="Body Text 3"/>
    <w:basedOn w:val="1"/>
    <w:link w:val="149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7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Balloon Text"/>
    <w:basedOn w:val="1"/>
    <w:link w:val="167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26">
    <w:name w:val="foot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head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Subtitle"/>
    <w:basedOn w:val="1"/>
    <w:next w:val="1"/>
    <w:link w:val="14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2"/>
    <w:basedOn w:val="1"/>
    <w:link w:val="148"/>
    <w:unhideWhenUsed/>
    <w:qFormat/>
    <w:uiPriority w:val="99"/>
    <w:pPr>
      <w:spacing w:after="120" w:line="480" w:lineRule="auto"/>
    </w:p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4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6">
    <w:name w:val="Light Shading"/>
    <w:basedOn w:val="34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styleId="137">
    <w:name w:val="annotation reference"/>
    <w:basedOn w:val="134"/>
    <w:semiHidden/>
    <w:unhideWhenUsed/>
    <w:qFormat/>
    <w:uiPriority w:val="99"/>
    <w:rPr>
      <w:sz w:val="21"/>
      <w:szCs w:val="21"/>
    </w:rPr>
  </w:style>
  <w:style w:type="character" w:customStyle="1" w:styleId="138">
    <w:name w:val="页眉 Char"/>
    <w:basedOn w:val="134"/>
    <w:link w:val="27"/>
    <w:qFormat/>
    <w:uiPriority w:val="99"/>
  </w:style>
  <w:style w:type="character" w:customStyle="1" w:styleId="139">
    <w:name w:val="页脚 Char"/>
    <w:basedOn w:val="134"/>
    <w:link w:val="26"/>
    <w:qFormat/>
    <w:uiPriority w:val="99"/>
  </w:style>
  <w:style w:type="paragraph" w:styleId="140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1">
    <w:name w:val="标题 1 Char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2">
    <w:name w:val="标题 2 Char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3">
    <w:name w:val="标题 3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4">
    <w:name w:val="标题 Char"/>
    <w:basedOn w:val="134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5">
    <w:name w:val="副标题 Char"/>
    <w:basedOn w:val="134"/>
    <w:link w:val="2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6">
    <w:name w:val="List Paragraph"/>
    <w:basedOn w:val="1"/>
    <w:qFormat/>
    <w:uiPriority w:val="34"/>
    <w:pPr>
      <w:ind w:left="720"/>
      <w:contextualSpacing/>
    </w:pPr>
  </w:style>
  <w:style w:type="character" w:customStyle="1" w:styleId="147">
    <w:name w:val="正文文本 Char"/>
    <w:basedOn w:val="134"/>
    <w:link w:val="20"/>
    <w:qFormat/>
    <w:uiPriority w:val="99"/>
  </w:style>
  <w:style w:type="character" w:customStyle="1" w:styleId="148">
    <w:name w:val="正文文本 2 Char"/>
    <w:basedOn w:val="134"/>
    <w:link w:val="30"/>
    <w:qFormat/>
    <w:uiPriority w:val="99"/>
  </w:style>
  <w:style w:type="character" w:customStyle="1" w:styleId="149">
    <w:name w:val="正文文本 3 Char"/>
    <w:basedOn w:val="134"/>
    <w:link w:val="18"/>
    <w:qFormat/>
    <w:uiPriority w:val="99"/>
    <w:rPr>
      <w:sz w:val="16"/>
      <w:szCs w:val="16"/>
    </w:rPr>
  </w:style>
  <w:style w:type="character" w:customStyle="1" w:styleId="150">
    <w:name w:val="宏文本 Char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1">
    <w:name w:val="Quote"/>
    <w:basedOn w:val="1"/>
    <w:next w:val="1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引用 Char"/>
    <w:basedOn w:val="134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标题 4 Char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4">
    <w:name w:val="标题 5 Char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5">
    <w:name w:val="标题 6 Char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6">
    <w:name w:val="标题 7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7">
    <w:name w:val="标题 8 Char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8">
    <w:name w:val="标题 9 Char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9">
    <w:name w:val="Intense Quote"/>
    <w:basedOn w:val="1"/>
    <w:next w:val="1"/>
    <w:link w:val="160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明显引用 Char"/>
    <w:basedOn w:val="134"/>
    <w:link w:val="159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不明显强调1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2">
    <w:name w:val="明显强调1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不明显参考1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4">
    <w:name w:val="明显参考1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5">
    <w:name w:val="书籍标题1"/>
    <w:basedOn w:val="134"/>
    <w:qFormat/>
    <w:uiPriority w:val="33"/>
    <w:rPr>
      <w:b/>
      <w:bCs/>
      <w:smallCaps/>
      <w:spacing w:val="5"/>
    </w:rPr>
  </w:style>
  <w:style w:type="paragraph" w:customStyle="1" w:styleId="166">
    <w:name w:val="TOC 标题1"/>
    <w:basedOn w:val="3"/>
    <w:next w:val="1"/>
    <w:semiHidden/>
    <w:unhideWhenUsed/>
    <w:qFormat/>
    <w:uiPriority w:val="39"/>
    <w:pPr>
      <w:outlineLvl w:val="9"/>
    </w:pPr>
  </w:style>
  <w:style w:type="character" w:customStyle="1" w:styleId="167">
    <w:name w:val="批注框文本 Char"/>
    <w:basedOn w:val="134"/>
    <w:link w:val="25"/>
    <w:semiHidden/>
    <w:qFormat/>
    <w:uiPriority w:val="99"/>
    <w:rPr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CD5C091-85ED-47E6-950A-2DBB0853C22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4</Pages>
  <Words>270</Words>
  <Characters>291</Characters>
  <Lines>14</Lines>
  <Paragraphs>4</Paragraphs>
  <TotalTime>4</TotalTime>
  <ScaleCrop>false</ScaleCrop>
  <LinksUpToDate>false</LinksUpToDate>
  <CharactersWithSpaces>292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2026-11-03T23:41:00Z</dcterms:created>
  <dc:creator>python-docx</dc:creator>
  <dc:description>generated by python-docx</dc:description>
  <cp:lastModifiedBy>黄山侯</cp:lastModifiedBy>
  <dcterms:modified xsi:type="dcterms:W3CDTF">2026-11-04T00:28:48Z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8059D8C3348E4695810411AAE1B7161A_13</vt:lpwstr>
  </property>
  <property fmtid="{D5CDD505-2E9C-101B-9397-08002B2CF9AE}" pid="4" name="KSOTemplateDocerSaveRecord">
    <vt:lpwstr>eyJoZGlkIjoiOGI5NmIwMmU2MTk4Y2MwMzhkY2UyOTM3YjU5YmUyNjAiLCJ1c2VySWQiOiIxNjQ5NTA0NDY0In0=</vt:lpwstr>
  </property>
</Properties>
</file>